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202817.xml.htm"/>
      <w:bookmarkStart w:id="1" w:name="kswkform4_17902028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Steib Michael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ANGI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3601 WALNUT STREET, 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Angi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ANGI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77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891"/>
        <w:gridCol w:w="11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77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Stock, par value $0.001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Stock, par value $0.001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Class A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in four equal annual installments beginning on the first anniversary of the grant date (September 22, 2026), subject to continued employment through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performance-based restricted stock units ("PSUs") that will vest as set forth in footnote (4), subject to continued employment through the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(i) 300,000 PSUs on the later of the first anniversary of September 22, 2026 (the "Effective Date") and achievement of a volume-weighted average closing price ("Closing Price") of at least $10.00 for 30 consecutive trading days on or after such date, (ii) 300,000 PSUs on the later of the second anniversary of the Effective Date and achievement of a Closing Price of at least $12.00 for 30 consecutive trading days on or after such date, (iii) 300,000 PSUs on the later of the third anniversary of the Effective Date and achievement of a Closing Price of at least $14.00 for 30 consecutive trading days on or after such date, and (iv) 100,000 PSUs on the later of the fourth anniversary of the Effective Date and achievement of a Closing Price of at least $20.00 for 30 consecutive trading days on or after such date; provided that any PSUs that remain outstanding and unvested on the sixth anniversary of the Effective Date will be forfeited and canceled.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M. Shaw as Attorney-in-Fact for Michael Steib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0569" TargetMode="External"/><Relationship Id="rId5" Type="http://schemas.openxmlformats.org/officeDocument/2006/relationships/hyperlink" Target="http://www.sec.gov/cgi-bin/browse-edgar?action=getcompany&amp;CIK=00017051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840</Words>
  <Characters>4458</Characters>
  <CharactersWithSpaces>5210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