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tm2625987d1_8k.htm"/>
      <w:bookmarkStart w:id="1" w:name="kstm262598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September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Angi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480"/>
        <w:gridCol w:w="60"/>
        <w:gridCol w:w="1295"/>
        <w:gridCol w:w="60"/>
        <w:gridCol w:w="1775"/>
      </w:tblGrid>
      <w:tr>
        <w:trPr/>
        <w:tc>
          <w:tcPr>
            <w:tcW w:w="2480"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bookmarkStart w:id="6" w:name="xdx_900_edei--EntityFileNumber_c20260922"/>
            <w:bookmarkEnd w:id="6"/>
            <w:r>
              <w:rPr>
                <w:b/>
              </w:rPr>
              <w:t>001-38220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bookmarkStart w:id="7" w:name="xdx_902_edei--EntityTaxIdentificationNum"/>
            <w:bookmarkEnd w:id="7"/>
            <w:r>
              <w:rPr>
                <w:b/>
              </w:rPr>
              <w:t>82-1204801</w:t>
            </w:r>
          </w:p>
        </w:tc>
      </w:tr>
      <w:tr>
        <w:trPr/>
        <w:tc>
          <w:tcPr>
            <w:tcW w:w="248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3755"/>
        <w:gridCol w:w="60"/>
        <w:gridCol w:w="1085"/>
      </w:tblGrid>
      <w:tr>
        <w:trPr/>
        <w:tc>
          <w:tcPr>
            <w:tcW w:w="37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3601 Walnut Street, </w:t>
            </w:r>
            <w:bookmarkStart w:id="9" w:name="xdx_907_edei--EntityAddressAddressLine2_"/>
            <w:bookmarkEnd w:id="9"/>
            <w:r>
              <w:rPr>
                <w:rFonts w:ascii="Times New Roman;Times;Serif" w:hAnsi="Times New Roman;Times;Serif"/>
                <w:b/>
                <w:i w:val="false"/>
                <w:caps w:val="false"/>
                <w:smallCaps w:val="false"/>
                <w:sz w:val="20"/>
              </w:rPr>
              <w:t>Suite 700</w:t>
              <w:br/>
            </w:r>
            <w:bookmarkStart w:id="10" w:name="xdx_901_edei--EntityAddressCityOrTown_c2"/>
            <w:bookmarkEnd w:id="10"/>
            <w:r>
              <w:rPr>
                <w:rFonts w:ascii="Times New Roman;Times;Serif" w:hAnsi="Times New Roman;Times;Serif"/>
                <w:b/>
                <w:i w:val="false"/>
                <w:caps w:val="false"/>
                <w:smallCaps w:val="false"/>
                <w:sz w:val="20"/>
              </w:rPr>
              <w:t xml:space="preserve">Denver, </w:t>
            </w:r>
            <w:bookmarkStart w:id="11" w:name="xdx_900_edei--EntityAddressStateOrProvin"/>
            <w:bookmarkEnd w:id="11"/>
            <w:r>
              <w:rPr>
                <w:rFonts w:ascii="Times New Roman;Times;Serif" w:hAnsi="Times New Roman;Times;Serif"/>
                <w:b/>
                <w:i w:val="false"/>
                <w:caps w:val="false"/>
                <w:smallCaps w:val="false"/>
                <w:sz w:val="20"/>
              </w:rPr>
              <w:t>CO</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6_edei--EntityAddressPostalZipCode"/>
            <w:bookmarkEnd w:id="12"/>
            <w:r>
              <w:rPr>
                <w:b/>
              </w:rPr>
              <w:t>80205</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Company’s telephone number, including area code: </w:t>
      </w:r>
      <w:r>
        <w:rPr>
          <w:rFonts w:ascii="Times New Roman;Times;Serif" w:hAnsi="Times New Roman;Times;Serif"/>
          <w:b/>
          <w:i w:val="false"/>
          <w:caps w:val="false"/>
          <w:smallCaps w:val="false"/>
          <w:sz w:val="20"/>
        </w:rPr>
        <w:t>(</w:t>
      </w:r>
      <w:bookmarkStart w:id="13" w:name="xdx_90E_edei--CityAreaCode_c20260922__20"/>
      <w:bookmarkEnd w:id="13"/>
      <w:r>
        <w:rPr>
          <w:rFonts w:ascii="Times New Roman;Times;Serif" w:hAnsi="Times New Roman;Times;Serif"/>
          <w:b/>
          <w:i w:val="false"/>
          <w:caps w:val="false"/>
          <w:smallCaps w:val="false"/>
          <w:sz w:val="20"/>
        </w:rPr>
        <w:t xml:space="preserve">303) </w:t>
      </w:r>
      <w:bookmarkStart w:id="14" w:name="xdx_909_edei--LocalPhoneNumber_c20260922"/>
      <w:bookmarkEnd w:id="14"/>
      <w:r>
        <w:rPr>
          <w:rFonts w:ascii="Times New Roman;Times;Serif" w:hAnsi="Times New Roman;Times;Serif"/>
          <w:b/>
          <w:i w:val="false"/>
          <w:caps w:val="false"/>
          <w:smallCaps w:val="false"/>
          <w:sz w:val="20"/>
        </w:rPr>
        <w:t>963-7200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E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left"/>
        <w:rPr>
          <w:caps w:val="false"/>
          <w:smallCaps w:val="false"/>
        </w:rPr>
      </w:pPr>
      <w:bookmarkStart w:id="16" w:name="xdx_905_edei--SolicitingMaterial_c202609"/>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left"/>
        <w:rPr>
          <w:caps w:val="false"/>
          <w:smallCaps w:val="false"/>
        </w:rPr>
      </w:pPr>
      <w:bookmarkStart w:id="17" w:name="xdx_905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left"/>
        <w:rPr>
          <w:caps w:val="false"/>
          <w:smallCaps w:val="false"/>
        </w:rPr>
      </w:pPr>
      <w:bookmarkStart w:id="18" w:name="xdx_90D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255" w:type="dxa"/>
        <w:jc w:val="left"/>
        <w:tblInd w:w="-10" w:type="dxa"/>
        <w:tblLayout w:type="fixed"/>
        <w:tblCellMar>
          <w:top w:w="28" w:type="dxa"/>
          <w:left w:w="108" w:type="dxa"/>
          <w:bottom w:w="0" w:type="dxa"/>
          <w:right w:w="108" w:type="dxa"/>
        </w:tblCellMar>
      </w:tblPr>
      <w:tblGrid>
        <w:gridCol w:w="4040"/>
        <w:gridCol w:w="995"/>
        <w:gridCol w:w="4220"/>
      </w:tblGrid>
      <w:tr>
        <w:trPr/>
        <w:tc>
          <w:tcPr>
            <w:tcW w:w="404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Title of each class</w:t>
            </w:r>
          </w:p>
        </w:tc>
        <w:tc>
          <w:tcPr>
            <w:tcW w:w="995"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 xml:space="preserve">Trading </w:t>
              <w:br/>
              <w:t>Symbol(s)</w:t>
            </w:r>
          </w:p>
        </w:tc>
        <w:tc>
          <w:tcPr>
            <w:tcW w:w="4220" w:type="dxa"/>
            <w:tcBorders>
              <w:top w:val="single" w:sz="8" w:space="0" w:color="000000"/>
              <w:right w:val="single" w:sz="8" w:space="0" w:color="000000"/>
            </w:tcBorders>
            <w:tcMar>
              <w:left w:w="0" w:type="dxa"/>
            </w:tcMar>
            <w:vAlign w:val="center"/>
          </w:tcPr>
          <w:p>
            <w:pPr>
              <w:pStyle w:val="TableContents"/>
              <w:bidi w:val="0"/>
              <w:spacing w:before="0" w:after="283"/>
              <w:jc w:val="center"/>
              <w:rPr/>
            </w:pPr>
            <w:r>
              <w:rPr/>
              <w:t>Name of each exchange on which registered</w:t>
            </w:r>
          </w:p>
        </w:tc>
      </w:tr>
      <w:tr>
        <w:trPr/>
        <w:tc>
          <w:tcPr>
            <w:tcW w:w="4040" w:type="dxa"/>
            <w:tcBorders>
              <w:top w:val="single" w:sz="8" w:space="0" w:color="000000"/>
              <w:left w:val="single" w:sz="8" w:space="0" w:color="000000"/>
              <w:bottom w:val="single" w:sz="8" w:space="0" w:color="000000"/>
              <w:right w:val="single" w:sz="8" w:space="0" w:color="000000"/>
            </w:tcBorders>
            <w:tcMar>
              <w:bottom w:w="28" w:type="dxa"/>
            </w:tcMar>
            <w:vAlign w:val="center"/>
          </w:tcPr>
          <w:p>
            <w:pPr>
              <w:pStyle w:val="TableContents"/>
              <w:bidi w:val="0"/>
              <w:spacing w:before="0" w:after="283"/>
              <w:jc w:val="center"/>
              <w:rPr/>
            </w:pPr>
            <w:bookmarkStart w:id="19" w:name="xdx_90A_edei--Security12bTitle_c20260922"/>
            <w:bookmarkEnd w:id="19"/>
            <w:r>
              <w:rPr/>
              <w:t>Class A Common Stock, par value $0.001</w:t>
            </w:r>
          </w:p>
        </w:tc>
        <w:tc>
          <w:tcPr>
            <w:tcW w:w="995"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83"/>
              <w:jc w:val="center"/>
              <w:rPr/>
            </w:pPr>
            <w:bookmarkStart w:id="20" w:name="xdx_907_edei--TradingSymbol_c20260922__2"/>
            <w:bookmarkEnd w:id="20"/>
            <w:r>
              <w:rPr/>
              <w:t>ANGI</w:t>
            </w:r>
          </w:p>
        </w:tc>
        <w:tc>
          <w:tcPr>
            <w:tcW w:w="4220" w:type="dxa"/>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7_edei--SecurityExchangeName_c2026"/>
            <w:bookmarkEnd w:id="21"/>
            <w:r>
              <w:rPr>
                <w:rFonts w:ascii="Times New Roman;Times;Serif" w:hAnsi="Times New Roman;Times;Serif"/>
                <w:b w:val="false"/>
                <w:i w:val="false"/>
                <w:caps w:val="false"/>
                <w:smallCaps w:val="false"/>
                <w:sz w:val="20"/>
              </w:rPr>
              <w:t>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b/>
                <w:sz w:val="20"/>
              </w:rPr>
            </w:pPr>
            <w:r>
              <w:rPr>
                <w:b/>
                <w:sz w:val="20"/>
              </w:rPr>
              <w:t>Item 5.02</w:t>
            </w:r>
          </w:p>
        </w:tc>
        <w:tc>
          <w:tcPr>
            <w:tcW w:w="9486" w:type="dxa"/>
            <w:tcBorders/>
            <w:vAlign w:val="center"/>
          </w:tcPr>
          <w:p>
            <w:pPr>
              <w:pStyle w:val="TableContents"/>
              <w:bidi w:val="0"/>
              <w:spacing w:before="0" w:after="283"/>
              <w:jc w:val="left"/>
              <w:rPr>
                <w:b/>
                <w:sz w:val="20"/>
              </w:rPr>
            </w:pPr>
            <w:r>
              <w:rPr>
                <w:b/>
                <w:sz w:val="20"/>
              </w:rPr>
              <w:t>Departure of Directors or Certain Officers; Election of Directors; Appointment of Certain Officers; Compensatory Arrangements of Certain Officers.</w:t>
            </w:r>
          </w:p>
        </w:tc>
      </w:tr>
    </w:tbl>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2026, Angi Inc. (“</w:t>
      </w:r>
      <w:r>
        <w:rPr>
          <w:rFonts w:ascii="Times New Roman;Times;Serif" w:hAnsi="Times New Roman;Times;Serif"/>
          <w:b w:val="false"/>
          <w:i w:val="false"/>
          <w:caps w:val="false"/>
          <w:smallCaps w:val="false"/>
          <w:sz w:val="20"/>
          <w:u w:val="single"/>
        </w:rPr>
        <w:t>Angi</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announced that Jeffrey W. Kip ceased to serve as Chief Executive Officer of the Company and as a member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effective as of September 22, 2026 (the “</w:t>
      </w:r>
      <w:r>
        <w:rPr>
          <w:rFonts w:ascii="Times New Roman;Times;Serif" w:hAnsi="Times New Roman;Times;Serif"/>
          <w:b w:val="false"/>
          <w:i w:val="false"/>
          <w:caps w:val="false"/>
          <w:smallCaps w:val="false"/>
          <w:sz w:val="20"/>
          <w:u w:val="single"/>
        </w:rPr>
        <w:t>Separation Date</w:t>
      </w:r>
      <w:r>
        <w:rPr>
          <w:rFonts w:ascii="Times New Roman;Times;Serif" w:hAnsi="Times New Roman;Times;Serif"/>
          <w:b w:val="false"/>
          <w:i w:val="false"/>
          <w:caps w:val="false"/>
          <w:smallCaps w:val="false"/>
          <w:sz w:val="20"/>
        </w:rPr>
        <w:t>”). Mr. Kip will remain as a non-employee advisor to the Company until March 22, 2027. In connection with Mr. Kip’s transition, the Board appointed Michael Steib, a non-employee member of the Board, to succeed Mr. Kip as the Company’s Chief Executive Officer, effective as of the Separation Date. In addition, the Company announced that effective as of September 22, 2026, Joseph Levin, current Executive Chairman of the Board, stepped down as Executive Chairman of the Board and as an executive officer of the Company. Mr. Levin will continue to serve as Chairman of the Board and an employee of the Company. In connection with these transitions, the size of the Board was reduced by one to consist of nine members.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Steib, age 50, has been a member of the Board since August 2026. Mr. Steib served as President and Chief Executive Officer and a member of the board of directors of TEGNA Inc. (NYSE: TGNA) (acquired by Nexstar Media Group), a local media and technology company, from August 2024 to May 2026. Prior to joining TEGNA, Mr. Steib served as Chief Executive Officer and a member of the board of directors of Artsy, Inc., an online marketplace for fine art, from July 2019 to June 2024. From July 2013 to January 2019, Mr. Steib served as Chief Executive Officer of XO Group Inc. (NYSE: XOXO), the parent company of The Knot Inc., a digital wedding planning platform and local vendor marketplace. Prior to that, Mr. Steib served as Chief Executive Officer of Vente Privee USA, a joint venture between American Express and Veepee, a European e-commerce company, from July 2011 to March 2013, and held various executive positions at Google Inc. (now Alphabet Inc.) from January 2007 to July 2011, and at NBC Universal, a media and entertainment conglomerate, from April 2001 to January 2007. Mr. Steib also served as a member of the board of directors of Ally Financial Inc., a digital financial services company, from July 2015 to March 2024 and has served as chairman of the board of three non-profits: Change.org, Literacy Partners, and Career Gear. He is a published author and former podcast host on leadership and professional development and holds B.A. degrees in economics and international relations from the University of Pennsylvania.</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transition matters, the Company entered into a separation agreement (the “</w:t>
      </w:r>
      <w:r>
        <w:rPr>
          <w:rFonts w:ascii="Times New Roman;Times;Serif" w:hAnsi="Times New Roman;Times;Serif"/>
          <w:b w:val="false"/>
          <w:i w:val="false"/>
          <w:caps w:val="false"/>
          <w:smallCaps w:val="false"/>
          <w:sz w:val="20"/>
          <w:u w:val="single"/>
        </w:rPr>
        <w:t>Separation Agreement</w:t>
      </w:r>
      <w:r>
        <w:rPr>
          <w:rFonts w:ascii="Times New Roman;Times;Serif" w:hAnsi="Times New Roman;Times;Serif"/>
          <w:b w:val="false"/>
          <w:i w:val="false"/>
          <w:caps w:val="false"/>
          <w:smallCaps w:val="false"/>
          <w:sz w:val="20"/>
        </w:rPr>
        <w:t>”) with Mr. Kip and an employment agreement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with Mr. Steib, in each case, dated as of September 22, 2026. The material terms of these agreements are described below.</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Separation Agreement with Mr. Kip</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Separation Agreement provides that, subject to Mr. Kip’s satisfaction of a release of claims requirement and his compliance with certain restrictive covenants, Mr. Kip will receive the severance benefits set forth in his existing employment agreement with the Company, dated as of November 13, 2023, as amended April 5, 2024, and his amended and restated performance stock unit agreement with the Company, dated as of August 3, 2026, in each case, due upon a termination of employment without cause, as well as (a) an additional cash payment of $325,000 payable in equal biweekly installments, representing six months of base salary continuation over the Consulting Period (described below) and (b) a cash payment equal to the amount of applicable monthly COBRA premiums for continuation coverage for up to 18 months, payable in equal biweekly installments.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Separation Agreement, Mr. Kip has agreed to provide consulting services to the Company to facilitate an orderly transition of his duties beginning on the Separation Date through March 22, 2027 (the “</w:t>
      </w:r>
      <w:r>
        <w:rPr>
          <w:rFonts w:ascii="Times New Roman;Times;Serif" w:hAnsi="Times New Roman;Times;Serif"/>
          <w:b w:val="false"/>
          <w:i w:val="false"/>
          <w:caps w:val="false"/>
          <w:smallCaps w:val="false"/>
          <w:sz w:val="20"/>
          <w:u w:val="single"/>
        </w:rPr>
        <w:t>Consulting Period</w:t>
      </w:r>
      <w:r>
        <w:rPr>
          <w:rFonts w:ascii="Times New Roman;Times;Serif" w:hAnsi="Times New Roman;Times;Serif"/>
          <w:b w:val="false"/>
          <w:i w:val="false"/>
          <w:caps w:val="false"/>
          <w:smallCaps w:val="false"/>
          <w:sz w:val="20"/>
        </w:rPr>
        <w:t>”). During and after the Consulting Period, Mr. Kip will remain subject to the restrictive covenants set forth in his existing employment agreement with the Company, with such post-termination covenants to run for 12 months from the last day of the Consulting Period. Subject to satisfaction of conditions outlined in the Separation Agreement, (a) on the last day of the Consulting Period, Mr. Kip will vest in (i) 55,000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granted November 13, 2023 and (ii) 166,667 RSUs granted April 18, 2026, and (b) upon a “Change in Control” (as defined in the Company’s Amended and Restated 2017 Stock and Annual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that occurs during the Consulting Period, or that occurs pursuant to a transaction agreement entered into during the Consulting Period, Mr. Kip’s equity awards that remained outstanding and unvested immediately following the Separation Date (after giving effect to accelerated vesting pursuant to Mr. Kip’s Separation Agreement and at the end of the Consulting Period) will vest in full.</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Separation Agreement does not purport to be complete and is qualified in its entirety by reference to the full text of the Separation Agreement, a copy of which will be filed with the Company’s Quarterly Report on Form 10-Q for the quarterly period ending September 30, 2026.</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Employment Agreement with Mr. Steib</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is effective as of September 22,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and has an initial term of six years from the Effective Date, which will automatically renew for successive one-year periods until either party provides 90 days’ prior written notice of non-renewal. The Employment Agreement provides Mr. Steib with an annual base salary equal to $1.00 and no cash incentive opportunity. Pursuant to the Employment Agreement, Mr. Steib will be granted the following equity awards under the Plan: (a) an RSU award covering 1,000,000 shares of the Company’s Class A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will vest in equal annual installments over four years, subject to continued employment through the applicable vesting date, and (b) performance-based RSUs (“</w:t>
      </w:r>
      <w:r>
        <w:rPr>
          <w:rFonts w:ascii="Times New Roman;Times;Serif" w:hAnsi="Times New Roman;Times;Serif"/>
          <w:b w:val="false"/>
          <w:i w:val="false"/>
          <w:caps w:val="false"/>
          <w:smallCaps w:val="false"/>
          <w:sz w:val="20"/>
          <w:u w:val="single"/>
        </w:rPr>
        <w:t>PSUs</w:t>
      </w:r>
      <w:r>
        <w:rPr>
          <w:rFonts w:ascii="Times New Roman;Times;Serif" w:hAnsi="Times New Roman;Times;Serif"/>
          <w:b w:val="false"/>
          <w:i w:val="false"/>
          <w:caps w:val="false"/>
          <w:smallCaps w:val="false"/>
          <w:sz w:val="20"/>
        </w:rPr>
        <w:t>”) covering 1,000,000 shares of Common Stock, which will be eligible to vest as follows, subject to continued employment through the applicable vesting date: (i) 300,000 PSUs on the later of the first anniversary of the Effective Date and achievement of a $10.00 stock price hurdle on or after such date, (ii) 300,000 PSUs on the later of the second anniversary of the Effective Date and achievement of a $12.00 stock price hurdle on or after such date, (iii) 300,000 PSUs on the later of the third anniversary of the Effective Date and achievement of a $14.00 stock price hurdle on or after such date, and (iv) 100,000 PSUs on the later of the fourth anniversary of the Effective Date and achievement of a $20.00 stock price hurdle on or after such date; provided that any PSUs that remain outstanding and unvested on the sixth anniversary of the Effective Date will be forfeited and canceled. In each case, the applicable stock price hurdle will be achieved if the volume-weighted average closing price of Common Stock equals or exceeds the specified hurdle for a period of thirty (30) consecutive trading days. Upon the consummation of a Change in Control, the RSUs will vest in full, and the PSUs will be immediately earned and vested based on the achievement of the foregoing stock price hurdles as measured against the consideration paid per share of Common Stock to shareholders in such Change in Control (or the value attributable to such shares), rather than based on a volume-weighted average closing price. To the extent there are insufficient shares available under the Plan to deliver Mr. Steib’s RSUs and PSUs in shares of Common Stock and the Company’s shareholders fail to approve a new equity plan and the Company is otherwise unable to deliver shares of Common Stock in settlement of such awards, the Company will be required to settle such awards for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Steib’s employment is terminated by the Company other than for cause, death, or disability, or if he resigns for good reason (with cause, disability and good reason each being as defined in the Employment Agreement), subject to his satisfaction of a release of claims requirement and compliance with certain restrictive covenants, any then-outstanding and unvested RSUs that would have vested within the following 24 months will immediately vest, and any PSUs will remain eligible to vest for 6 months following the date of termination (or, if earlier, the sixth anniversary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subjects Mr. Steib to non-competition and employee and business partner non-solicitation restrictive covenants that apply during the employment term and for twenty-four (24) months thereafter, as well as a perpetual confidentiality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qualified in its entirety by reference to the full text of the Employment Agreement, a copy of which will be filed with the Company’s Quarterly Report on Form 10-Q for the quarterly period ending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the Effective Date, Mr. Steib will no longer be eligible for compensation in accordance with the Company’s Summary of Non-Employee Director Compensation Arrangements, as in effect from time to time. Mr. Steib’s previously granted equity award agreements under the Plan will remain outstanding in accordance with their terms.</w:t>
      </w:r>
    </w:p>
    <w:p>
      <w:pPr>
        <w:pStyle w:val="TextBody"/>
        <w:bidi w:val="0"/>
        <w:spacing w:before="0" w:after="0"/>
        <w:ind w:left="0" w:right="0" w:firstLine="72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b/>
                <w:sz w:val="20"/>
              </w:rPr>
            </w:pPr>
            <w:r>
              <w:rPr>
                <w:b/>
                <w:sz w:val="20"/>
              </w:rPr>
              <w:t>Item 7.01</w:t>
            </w:r>
          </w:p>
        </w:tc>
        <w:tc>
          <w:tcPr>
            <w:tcW w:w="2240" w:type="dxa"/>
            <w:tcBorders/>
            <w:vAlign w:val="center"/>
          </w:tcPr>
          <w:p>
            <w:pPr>
              <w:pStyle w:val="TableContents"/>
              <w:bidi w:val="0"/>
              <w:spacing w:before="0" w:after="283"/>
              <w:jc w:val="left"/>
              <w:rPr>
                <w:b/>
                <w:sz w:val="20"/>
              </w:rPr>
            </w:pPr>
            <w:r>
              <w:rPr>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issued by the Company on September 22, 2026 regarding the executive transition is furnished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shall not be deemed “filed” for purposes of Section 18 of the U.S. Securities Exchange Act of 1934 (the “Exchange Act”), or incorporated by reference in any filing under the Securities Act of 1933, as amended, or the Exchange Act, except as shall be expressly set forth by specific reference in such a filing.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28" w:type="dxa"/>
          <w:right w:w="0" w:type="dxa"/>
        </w:tblCellMar>
      </w:tblPr>
      <w:tblGrid>
        <w:gridCol w:w="1205"/>
        <w:gridCol w:w="60"/>
        <w:gridCol w:w="7685"/>
      </w:tblGrid>
      <w:tr>
        <w:trPr/>
        <w:tc>
          <w:tcPr>
            <w:tcW w:w="1205" w:type="dxa"/>
            <w:tcBorders>
              <w:bottom w:val="single" w:sz="8" w:space="0" w:color="000000"/>
            </w:tcBorders>
            <w:vAlign w:val="center"/>
          </w:tcPr>
          <w:p>
            <w:pPr>
              <w:pStyle w:val="TableContents"/>
              <w:bidi w:val="0"/>
              <w:spacing w:before="0" w:after="283"/>
              <w:jc w:val="center"/>
              <w:rPr/>
            </w:pPr>
            <w:r>
              <w:rPr/>
              <w:t>Exhibit No. </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tcMar>
              <w:bottom w:w="30" w:type="dxa"/>
            </w:tcMar>
            <w:vAlign w:val="center"/>
          </w:tcPr>
          <w:p>
            <w:pPr>
              <w:pStyle w:val="TableContents"/>
              <w:bidi w:val="0"/>
              <w:spacing w:before="0" w:after="283"/>
              <w:jc w:val="center"/>
              <w:rPr/>
            </w:pPr>
            <w:r>
              <w:rPr/>
              <w:t>Description </w:t>
            </w:r>
          </w:p>
        </w:tc>
      </w:tr>
      <w:tr>
        <w:trPr/>
        <w:tc>
          <w:tcPr>
            <w:tcW w:w="1205" w:type="dxa"/>
            <w:tcBorders/>
            <w:tcMar>
              <w:bottom w:w="0" w:type="dxa"/>
            </w:tcMar>
            <w:vAlign w:val="center"/>
          </w:tcPr>
          <w:p>
            <w:pPr>
              <w:pStyle w:val="TableContents"/>
              <w:bidi w:val="0"/>
              <w:spacing w:before="0" w:after="283"/>
              <w:jc w:val="center"/>
              <w:rPr/>
            </w:pPr>
            <w:hyperlink w:anchor="tm2625987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5987d1_ex99-1.htm">
              <w:r>
                <w:rPr>
                  <w:rStyle w:val="InternetLink"/>
                </w:rPr>
                <w:t>Press Release, dated as of September 22, 2026.</w:t>
              </w:r>
            </w:hyperlink>
          </w:p>
        </w:tc>
      </w:tr>
      <w:tr>
        <w:trPr/>
        <w:tc>
          <w:tcPr>
            <w:tcW w:w="1205" w:type="dxa"/>
            <w:tcBorders/>
            <w:tcMar>
              <w:bottom w:w="0" w:type="dxa"/>
            </w:tcMar>
            <w:vAlign w:val="center"/>
          </w:tcPr>
          <w:p>
            <w:pPr>
              <w:pStyle w:val="TableContents"/>
              <w:bidi w:val="0"/>
              <w:spacing w:before="0" w:after="283"/>
              <w:jc w:val="center"/>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545"/>
        <w:gridCol w:w="17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2"/>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ANGI INC.</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7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Shannon M. Shaw</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45" w:type="dxa"/>
            <w:tcBorders/>
            <w:vAlign w:val="center"/>
          </w:tcPr>
          <w:p>
            <w:pPr>
              <w:pStyle w:val="TableContents"/>
              <w:bidi w:val="0"/>
              <w:spacing w:before="0" w:after="283"/>
              <w:jc w:val="left"/>
              <w:rPr>
                <w:sz w:val="20"/>
              </w:rPr>
            </w:pPr>
            <w:r>
              <w:rPr>
                <w:sz w:val="20"/>
              </w:rPr>
              <w:t>Shannon M. Shaw</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45" w:type="dxa"/>
            <w:tcBorders/>
            <w:vAlign w:val="center"/>
          </w:tcPr>
          <w:p>
            <w:pPr>
              <w:pStyle w:val="TableContents"/>
              <w:bidi w:val="0"/>
              <w:spacing w:before="0" w:after="283"/>
              <w:jc w:val="left"/>
              <w:rPr>
                <w:sz w:val="20"/>
              </w:rPr>
            </w:pPr>
            <w:r>
              <w:rPr>
                <w:sz w:val="20"/>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5987d1_ex99-1.htm"/>
      <w:bookmarkStart w:id="24" w:name="kstm262598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Angi Appoints Michael Steib As CEO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Experienced, Transformative Leader Tapped as Angi Transitions from Turnaround to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September 22, 2026 -- Angi (NASDAQ: ANGI), a leading digital home services marketplace, today announced the appointment of Michael Steib as Chief Executive Officer, succeeding Jeff Kip. As CEO, Mr. Steib will remain a member of Angi’s board and lead Angi’s executive team, overseeing strategy and daily management of the company. As Mr. Steib assumes the CEO role, Joey Levin will transition from his role as Executive Chairman of the Board to Chairman. All changes are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Steib has extensive executive experience building category-leading digital products and durable business models at publicly traded companies, most recently as president and CEO of TEGNA (NYSE: TGNA), which was acquired by Nexstar Media Group at a substantial premium in March 2026. His track record of success for revitalizing brands and generating shareholder value extends across tech, commerce, and media, and he brings a focus on running extremely efficient and high velocity teams.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Mike is bringing enormous energy and spot-on experience to Angi. His palpable excitement for the brand and the product will be quickly apparent to Angi’s customers, and the opportunities Mike sees in our current AI landscape are invigorating,” said Joey Levin. “I expect Mike to continue his tremendous record of delivering meaningful incremental value for shareholders, several times over.”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being president and CEO of TEGNA, Mr. Steib was CEO of Artsy, the leading online marketplace for buying and selling art globally. Previously, he was CEO of XO Group Inc., parent company of The Knot, where the company’s stock tripled under his leadership before it merged with WeddingWire Inc. At Artsy and XO Group, Mr. Steib was able to build industry-leading digital products and grow revenue and profitability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Angi has an important mission, helping homeowners when they need it and delivering business to hard-working professionals,” said Michael Steib. “We're going to use the revolutionary power of AI to make our products better for both, and we're going to move with urgency. I see real opportunities for upsides in profitability in the near-term and I look forward to working with this team to build a bright future for Angi."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Kip will serve as advisor to the company for six months to ensure a smooth transition. Mr. Levin expressed the Board’s appreciation for Mr. Kip’s leadership as CEO. “Jeff assumed leadership of Angi during a complex and challenging time across the shifting economic and digital landscapes. He played a pivotal role integrating multiple product and technology platforms globally, expanding margins and spurring growth. The Board thanks Jeff for his insight, unwavering dedication and foundational service to our company across multiple key roles and we wish him every success with all of his future endeavors,” Mr. Levin said.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Angi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Angi (NASDAQ: ANGI) helps homeowners get home projects done well and helps home service professionals grow their businesses. Founded in 1995, Angi connects homeowners with skilled local professionals, from plumbers and electricians to remodelers and landscapers, and provides tools for researching costs, planning projects and hiring with confidence. Homeowners have turned to Angi, and our vast network of skilled home pros, for help with more than 300 million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“forward-looking statements” within the meaning of the Private Securities Litigation Reform Act of 1995. The use of words such as “anticipates,” “estimates,” “expects,” “plans,” “intends,” “will,” “may”, “could” and “believes,” among similar expressions, generally identify forward-looking statements. These forward-looking statements include, among others, statements relating to the leadership transition, our ability to successfully manage the leadership transition, our future business, financial condition, results of operations and financial performance, our business prospects and strategy, trends in the home services industry and other similar matters. These forward-looking statements are based on the expectations and assumptions of our management about future events as of the date of this communication, which are inherently subject to uncertainties, risks and changes in circumstances that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could differ materially from those contained in these forward-looking statements for a variety of reasons, including, among others: (i) the continued migration of the home services market online, (ii) our ability to market our various products and services in a successful and cost-effective manner, (iii) the continued display of links to websites offering our products and services in a prominent manner in search results, (iv) our ability to expand our pre-priced offerings while balancing the overall mix of service requests and directory services on Angi platforms, (v) our ability to establish and maintain relationships with quality and trustworthy Pros, (vi) our continued ability to develop and monetize versions of our products and services for mobile and other digital devices, (vii) our ability to access, share and use personal data about consumers, (viii) our continued ability to communicate with consumers and Pros via e-mail (or other sufficient means), (ix) our ability to continue to generate leads for Pros given changing requirements applicable to certain communications with consumers, (x) any challenge to the contractor classification or employment status of our Pros, (xi) our ability to compete, (xii) adverse economic events or trends (particularly those that impact consumer confidence and spending behavior), (xiii) our ability to maintain and/or enhance our various brands, (xiv) our ability to protect our systems, technology and infrastructure from cyberattacks and to protect personal and confidential user information (including credit card information), as well as the impact of cyberattacks experienced by third parties, (xv) the occurrence of data security breaches and/or fraud, (xvi) increased liabilities and costs related to the processing, storage, use and disclosure of personal and confidential user information, (xvii) the integrity, quality, efficiency and scalability of our systems, technology and infrastructures (and those of third parties with whom we do business), (xviii) changes in key personnel, (xix) our development and use of AI and machine learning technologies and the related legal and regulatory developments, (xx) various risks related to our relationship with IAC following the spin-off, (xxi) our ability to generate sufficient cash to service our indebtedness, (xxii) the impact of our current and future indebtedness on our ability to obtain additional financing and pursue other business opportunities and (xxiii) certain risks related to ownership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these and other risks and uncertainties are discussed in Angi Inc.’s filings with the Securities and Exchange Commission (the "SEC"), including the most recent Annual Report on Form 10-K filed with the SEC on February 20, 2026, and subsequent reports that Angi Inc. files with the SEC. Other unknown or unpredictable factors that could also adversely affect Angi Inc.’s business, financial condition, and results of operations may arise from time to time. It is not possible for our management to predict all risks, nor can we assess the impact of all factors on our business or the extent to which any factor, or combination of factors, may cause actual results to differ materially from those expressed in any forward-looking statements we may make. Except as required by law, we undertake no obligation to update any forward-looking statements to reflect events or circumstances after the date of such statements. You should, therefore, not rely on these forward-looking statements as representing our views as of any date subsequent to the date of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Angi Corporate Communications</w:t>
        <w:br/>
        <w:t>Jennifer Myers</w:t>
        <w:br/>
        <w:t>(303) 963-8352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Angi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Sophia Nam, Julie Hoarau</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 282-1958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3291</Words>
  <Characters>17784</Characters>
  <CharactersWithSpaces>21088</CharactersWithSpaces>
  <Paragraphs>192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